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29387F"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8"/>
        <w:gridCol w:w="4981"/>
      </w:tblGrid>
      <w:tr w:rsidR="00586F20" w:rsidRPr="00E73D2F" w:rsidTr="002B3516">
        <w:tc>
          <w:tcPr>
            <w:tcW w:w="4035" w:type="dxa"/>
            <w:gridSpan w:val="2"/>
            <w:shd w:val="clear" w:color="auto" w:fill="auto"/>
          </w:tcPr>
          <w:p w:rsidR="009D72AA" w:rsidRPr="00E73D2F" w:rsidRDefault="009D72AA" w:rsidP="001E175B">
            <w:pPr>
              <w:rPr>
                <w:rFonts w:ascii="Arial" w:hAnsi="Arial"/>
              </w:rPr>
            </w:pPr>
            <w:r w:rsidRPr="00E73D2F">
              <w:rPr>
                <w:rFonts w:ascii="Arial" w:hAnsi="Arial"/>
                <w:b/>
              </w:rPr>
              <w:t>Officer:</w:t>
            </w:r>
            <w:r w:rsidR="00CE022F">
              <w:rPr>
                <w:rFonts w:ascii="Arial" w:hAnsi="Arial"/>
                <w:b/>
              </w:rPr>
              <w:t xml:space="preserve"> </w:t>
            </w:r>
            <w:r w:rsidR="001E175B">
              <w:rPr>
                <w:rFonts w:ascii="Arial" w:hAnsi="Arial"/>
              </w:rPr>
              <w:t xml:space="preserve">Stuart </w:t>
            </w:r>
            <w:r w:rsidR="00C260C8">
              <w:rPr>
                <w:rFonts w:ascii="Arial" w:hAnsi="Arial"/>
              </w:rPr>
              <w:t>Gustard</w:t>
            </w:r>
          </w:p>
        </w:tc>
        <w:tc>
          <w:tcPr>
            <w:tcW w:w="4981" w:type="dxa"/>
            <w:shd w:val="clear" w:color="auto" w:fill="auto"/>
          </w:tcPr>
          <w:p w:rsidR="00136429" w:rsidRPr="00E73D2F" w:rsidRDefault="00586F20" w:rsidP="00C260C8">
            <w:pPr>
              <w:rPr>
                <w:rFonts w:ascii="Arial" w:hAnsi="Arial"/>
              </w:rPr>
            </w:pPr>
            <w:r w:rsidRPr="00E73D2F">
              <w:rPr>
                <w:rFonts w:ascii="Arial" w:hAnsi="Arial"/>
                <w:b/>
              </w:rPr>
              <w:t>Date of Decision:</w:t>
            </w:r>
            <w:r w:rsidR="00CE022F">
              <w:rPr>
                <w:rFonts w:ascii="Arial" w:hAnsi="Arial"/>
                <w:b/>
              </w:rPr>
              <w:t xml:space="preserve"> </w:t>
            </w:r>
            <w:r w:rsidR="00844AF0">
              <w:rPr>
                <w:rFonts w:ascii="Arial" w:hAnsi="Arial"/>
                <w:b/>
              </w:rPr>
              <w:t>06/07/2022</w:t>
            </w:r>
          </w:p>
        </w:tc>
      </w:tr>
      <w:tr w:rsidR="00586F20" w:rsidRPr="00E73D2F" w:rsidTr="002B3516">
        <w:tc>
          <w:tcPr>
            <w:tcW w:w="9016" w:type="dxa"/>
            <w:gridSpan w:val="3"/>
            <w:shd w:val="clear" w:color="auto" w:fill="auto"/>
          </w:tcPr>
          <w:p w:rsidR="002B3516" w:rsidRDefault="00586F20" w:rsidP="00205C88">
            <w:pPr>
              <w:rPr>
                <w:rFonts w:ascii="Arial" w:hAnsi="Arial"/>
              </w:rPr>
            </w:pPr>
            <w:r w:rsidRPr="00E73D2F">
              <w:rPr>
                <w:rFonts w:ascii="Arial" w:hAnsi="Arial"/>
                <w:b/>
              </w:rPr>
              <w:t xml:space="preserve">Title/Reference: </w:t>
            </w:r>
            <w:r w:rsidR="00154649">
              <w:rPr>
                <w:rFonts w:ascii="Arial" w:hAnsi="Arial"/>
                <w:b/>
              </w:rPr>
              <w:t xml:space="preserve"> </w:t>
            </w:r>
            <w:r w:rsidR="00205C88" w:rsidRPr="002B3516">
              <w:rPr>
                <w:rFonts w:ascii="Arial" w:hAnsi="Arial"/>
              </w:rPr>
              <w:t>Capital Purchase 8028002261</w:t>
            </w:r>
          </w:p>
          <w:p w:rsidR="001E175B" w:rsidRDefault="001E175B" w:rsidP="00205C88">
            <w:pPr>
              <w:rPr>
                <w:rFonts w:ascii="Arial" w:hAnsi="Arial"/>
              </w:rPr>
            </w:pPr>
          </w:p>
          <w:p w:rsidR="001E175B" w:rsidRDefault="001E175B" w:rsidP="00205C88">
            <w:pPr>
              <w:rPr>
                <w:rFonts w:ascii="Arial" w:hAnsi="Arial"/>
                <w:b/>
              </w:rPr>
            </w:pPr>
          </w:p>
          <w:p w:rsidR="00E74CDA" w:rsidRPr="00E73D2F" w:rsidRDefault="00205C88" w:rsidP="00B7486C">
            <w:pPr>
              <w:rPr>
                <w:rFonts w:ascii="Arial" w:hAnsi="Arial"/>
              </w:rPr>
            </w:pPr>
            <w:r>
              <w:rPr>
                <w:rFonts w:ascii="Arial" w:hAnsi="Arial"/>
                <w:b/>
              </w:rPr>
              <w:t xml:space="preserve">Delegated Decision </w:t>
            </w:r>
            <w:r w:rsidRPr="00BB48D6">
              <w:rPr>
                <w:rFonts w:ascii="Arial" w:hAnsi="Arial"/>
                <w:b/>
              </w:rPr>
              <w:t>Ref</w:t>
            </w:r>
            <w:r>
              <w:rPr>
                <w:rFonts w:ascii="Arial" w:hAnsi="Arial"/>
              </w:rPr>
              <w:t xml:space="preserve">: </w:t>
            </w:r>
            <w:r w:rsidR="008F469B">
              <w:rPr>
                <w:rFonts w:ascii="Arial" w:hAnsi="Arial"/>
              </w:rPr>
              <w:t>21/41/NS</w:t>
            </w:r>
          </w:p>
        </w:tc>
      </w:tr>
      <w:tr w:rsidR="00586F20" w:rsidRPr="00E73D2F" w:rsidTr="002B3516">
        <w:tc>
          <w:tcPr>
            <w:tcW w:w="9016"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2B3516" w:rsidRPr="002B3516">
              <w:rPr>
                <w:rFonts w:ascii="Arial" w:hAnsi="Arial"/>
              </w:rPr>
              <w:t>N/A</w:t>
            </w:r>
          </w:p>
          <w:p w:rsidR="00E74CDA" w:rsidRPr="00E73D2F" w:rsidRDefault="00E74CDA" w:rsidP="00E524AE">
            <w:pPr>
              <w:rPr>
                <w:rFonts w:ascii="Arial" w:hAnsi="Arial"/>
              </w:rPr>
            </w:pPr>
          </w:p>
        </w:tc>
      </w:tr>
      <w:tr w:rsidR="00586F20" w:rsidRPr="00E73D2F" w:rsidTr="002B3516">
        <w:tc>
          <w:tcPr>
            <w:tcW w:w="9016" w:type="dxa"/>
            <w:gridSpan w:val="3"/>
            <w:shd w:val="clear" w:color="auto" w:fill="auto"/>
          </w:tcPr>
          <w:p w:rsidR="001E175B" w:rsidRDefault="00586F20" w:rsidP="00743848">
            <w:pPr>
              <w:jc w:val="both"/>
              <w:rPr>
                <w:rFonts w:ascii="Arial" w:hAnsi="Arial"/>
              </w:rPr>
            </w:pPr>
            <w:r w:rsidRPr="00E73D2F">
              <w:rPr>
                <w:rFonts w:ascii="Arial" w:hAnsi="Arial"/>
                <w:b/>
              </w:rPr>
              <w:t>Record of Decision</w:t>
            </w:r>
            <w:r w:rsidR="009D72AA" w:rsidRPr="00E73D2F">
              <w:rPr>
                <w:rFonts w:ascii="Arial" w:hAnsi="Arial"/>
                <w:b/>
              </w:rPr>
              <w:t>:</w:t>
            </w:r>
            <w:r w:rsidR="00205C88">
              <w:rPr>
                <w:rFonts w:ascii="Arial" w:hAnsi="Arial"/>
                <w:b/>
              </w:rPr>
              <w:t xml:space="preserve"> </w:t>
            </w:r>
            <w:r w:rsidR="00743848" w:rsidRPr="002B3516">
              <w:rPr>
                <w:rFonts w:ascii="Arial" w:hAnsi="Arial"/>
              </w:rPr>
              <w:t xml:space="preserve">Purchase </w:t>
            </w:r>
            <w:r w:rsidR="006503F4">
              <w:rPr>
                <w:rFonts w:ascii="Arial" w:hAnsi="Arial"/>
              </w:rPr>
              <w:t>of</w:t>
            </w:r>
            <w:r w:rsidR="006241EB">
              <w:rPr>
                <w:rFonts w:ascii="Arial" w:hAnsi="Arial"/>
              </w:rPr>
              <w:t xml:space="preserve"> 26T Refuse Collection Vehicle</w:t>
            </w:r>
            <w:r w:rsidR="00287242">
              <w:rPr>
                <w:rFonts w:ascii="Arial" w:hAnsi="Arial"/>
              </w:rPr>
              <w:t xml:space="preserve"> to replace Fleet Number T2355 under the fleet replacement programme.</w:t>
            </w:r>
          </w:p>
          <w:p w:rsidR="00136429" w:rsidRPr="002B3516" w:rsidRDefault="00136429" w:rsidP="00743848">
            <w:pPr>
              <w:jc w:val="both"/>
              <w:rPr>
                <w:rFonts w:ascii="Arial" w:hAnsi="Arial"/>
              </w:rPr>
            </w:pPr>
          </w:p>
          <w:p w:rsidR="002B3516" w:rsidRDefault="00743848" w:rsidP="00743848">
            <w:pPr>
              <w:jc w:val="both"/>
              <w:rPr>
                <w:rFonts w:ascii="Arial" w:hAnsi="Arial"/>
              </w:rPr>
            </w:pPr>
            <w:r w:rsidRPr="002B3516">
              <w:rPr>
                <w:rFonts w:ascii="Arial" w:hAnsi="Arial"/>
              </w:rPr>
              <w:t xml:space="preserve">Cost : </w:t>
            </w:r>
            <w:r w:rsidR="002B3516" w:rsidRPr="002B3516">
              <w:rPr>
                <w:rFonts w:ascii="Arial" w:hAnsi="Arial"/>
              </w:rPr>
              <w:t>£</w:t>
            </w:r>
            <w:r w:rsidR="006241EB">
              <w:rPr>
                <w:rFonts w:ascii="Arial" w:hAnsi="Arial"/>
              </w:rPr>
              <w:t>195</w:t>
            </w:r>
            <w:r w:rsidR="00844AF0">
              <w:rPr>
                <w:rFonts w:ascii="Arial" w:hAnsi="Arial"/>
              </w:rPr>
              <w:t>,</w:t>
            </w:r>
            <w:r w:rsidR="006241EB">
              <w:rPr>
                <w:rFonts w:ascii="Arial" w:hAnsi="Arial"/>
              </w:rPr>
              <w:t>504.00</w:t>
            </w:r>
            <w:r w:rsidRPr="002B3516">
              <w:rPr>
                <w:rFonts w:ascii="Arial" w:hAnsi="Arial"/>
              </w:rPr>
              <w:t xml:space="preserve"> + VAT </w:t>
            </w:r>
          </w:p>
          <w:p w:rsidR="001E175B" w:rsidRDefault="001E175B" w:rsidP="00743848">
            <w:pPr>
              <w:jc w:val="both"/>
              <w:rPr>
                <w:rFonts w:ascii="Arial" w:hAnsi="Arial"/>
              </w:rPr>
            </w:pPr>
          </w:p>
          <w:p w:rsidR="002B3516" w:rsidRDefault="006503F4" w:rsidP="002B3516">
            <w:pPr>
              <w:jc w:val="both"/>
              <w:rPr>
                <w:rFonts w:ascii="Arial" w:hAnsi="Arial"/>
              </w:rPr>
            </w:pPr>
            <w:r>
              <w:rPr>
                <w:rFonts w:ascii="Arial" w:hAnsi="Arial"/>
              </w:rPr>
              <w:t>The purchase is i</w:t>
            </w:r>
            <w:r w:rsidR="002B3516">
              <w:rPr>
                <w:rFonts w:ascii="Arial" w:hAnsi="Arial"/>
              </w:rPr>
              <w:t xml:space="preserve">n conjunction with NCC Procurement through the </w:t>
            </w:r>
            <w:r w:rsidR="002B3516" w:rsidRPr="002B3516">
              <w:rPr>
                <w:rFonts w:ascii="Arial" w:hAnsi="Arial"/>
              </w:rPr>
              <w:t>YPO Framework</w:t>
            </w:r>
            <w:r>
              <w:rPr>
                <w:rFonts w:ascii="Arial" w:hAnsi="Arial"/>
              </w:rPr>
              <w:t>.</w:t>
            </w:r>
          </w:p>
          <w:p w:rsidR="002B3516" w:rsidRPr="00E73D2F" w:rsidRDefault="002B3516" w:rsidP="002B3516">
            <w:pPr>
              <w:jc w:val="both"/>
              <w:rPr>
                <w:rFonts w:ascii="Arial" w:hAnsi="Arial"/>
              </w:rPr>
            </w:pPr>
          </w:p>
        </w:tc>
      </w:tr>
      <w:tr w:rsidR="003D5331" w:rsidRPr="00E73D2F" w:rsidTr="002B3516">
        <w:tc>
          <w:tcPr>
            <w:tcW w:w="9016" w:type="dxa"/>
            <w:gridSpan w:val="3"/>
            <w:shd w:val="clear" w:color="auto" w:fill="auto"/>
          </w:tcPr>
          <w:p w:rsidR="000D3977" w:rsidRDefault="000D3977" w:rsidP="000D3977">
            <w:pPr>
              <w:rPr>
                <w:rFonts w:ascii="Arial" w:hAnsi="Arial"/>
                <w:b/>
              </w:rPr>
            </w:pPr>
            <w:r>
              <w:rPr>
                <w:rFonts w:ascii="Arial" w:hAnsi="Arial"/>
                <w:b/>
              </w:rPr>
              <w:t>Legal Powers / Authority:</w:t>
            </w:r>
          </w:p>
          <w:p w:rsidR="002B3516" w:rsidRDefault="002B3516" w:rsidP="000D3977">
            <w:pPr>
              <w:rPr>
                <w:rFonts w:ascii="Arial" w:hAnsi="Arial"/>
                <w:b/>
              </w:rPr>
            </w:pPr>
          </w:p>
          <w:p w:rsidR="002B3516" w:rsidRPr="002B3516" w:rsidRDefault="002B3516" w:rsidP="002B3516">
            <w:pPr>
              <w:rPr>
                <w:rFonts w:ascii="Arial" w:hAnsi="Arial"/>
              </w:rPr>
            </w:pPr>
            <w:r w:rsidRPr="002B3516">
              <w:rPr>
                <w:rFonts w:ascii="Arial" w:hAnsi="Arial"/>
              </w:rPr>
              <w:t xml:space="preserve">The constitution stipulates at 3.01.18.1 that the Head of </w:t>
            </w:r>
            <w:r w:rsidR="00844AF0">
              <w:rPr>
                <w:rFonts w:ascii="Arial" w:hAnsi="Arial"/>
              </w:rPr>
              <w:t>Neighbourhood Services</w:t>
            </w:r>
            <w:r w:rsidRPr="002B3516">
              <w:rPr>
                <w:rFonts w:ascii="Arial" w:hAnsi="Arial"/>
              </w:rPr>
              <w:t xml:space="preserve"> has the </w:t>
            </w:r>
            <w:r w:rsidR="00844AF0">
              <w:rPr>
                <w:rFonts w:ascii="Arial" w:hAnsi="Arial"/>
              </w:rPr>
              <w:t>authority</w:t>
            </w:r>
            <w:r w:rsidRPr="002B3516">
              <w:rPr>
                <w:rFonts w:ascii="Arial" w:hAnsi="Arial"/>
              </w:rPr>
              <w:t xml:space="preserve"> to:</w:t>
            </w:r>
          </w:p>
          <w:p w:rsidR="002B3516" w:rsidRPr="002B3516" w:rsidRDefault="002B3516" w:rsidP="002B3516">
            <w:pPr>
              <w:rPr>
                <w:rFonts w:ascii="Arial" w:hAnsi="Arial"/>
              </w:rPr>
            </w:pPr>
          </w:p>
          <w:p w:rsidR="009B6FB1" w:rsidRDefault="002B3516" w:rsidP="002B3516">
            <w:pPr>
              <w:rPr>
                <w:rFonts w:ascii="Arial" w:hAnsi="Arial"/>
              </w:rPr>
            </w:pPr>
            <w:r w:rsidRPr="002B3516">
              <w:rPr>
                <w:rFonts w:ascii="Arial" w:hAnsi="Arial"/>
              </w:rPr>
              <w:t>“To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2B3516" w:rsidRPr="00E73D2F" w:rsidRDefault="002B3516" w:rsidP="002B3516">
            <w:pPr>
              <w:rPr>
                <w:rFonts w:ascii="Arial" w:hAnsi="Arial"/>
                <w:b/>
              </w:rPr>
            </w:pPr>
          </w:p>
        </w:tc>
      </w:tr>
      <w:tr w:rsidR="00E524AE" w:rsidRPr="00E73D2F" w:rsidTr="002B3516">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319" w:type="dxa"/>
            <w:gridSpan w:val="2"/>
            <w:shd w:val="clear" w:color="auto" w:fill="auto"/>
          </w:tcPr>
          <w:p w:rsidR="008D4EBC" w:rsidRPr="00E73D2F" w:rsidRDefault="00E524AE" w:rsidP="00C260C8">
            <w:pPr>
              <w:rPr>
                <w:rFonts w:ascii="Arial" w:hAnsi="Arial"/>
                <w:b/>
              </w:rPr>
            </w:pPr>
            <w:r>
              <w:rPr>
                <w:rFonts w:ascii="Arial" w:hAnsi="Arial"/>
                <w:b/>
              </w:rPr>
              <w:t>Relevant Legislation:</w:t>
            </w:r>
            <w:r w:rsidR="00E74CDA">
              <w:rPr>
                <w:rFonts w:ascii="Arial" w:hAnsi="Arial"/>
              </w:rPr>
              <w:t xml:space="preserve"> </w:t>
            </w:r>
            <w:r w:rsidR="008D4EBC" w:rsidRPr="00CE022F">
              <w:rPr>
                <w:rFonts w:ascii="Arial" w:hAnsi="Arial"/>
              </w:rPr>
              <w:t>Not applicable</w:t>
            </w:r>
          </w:p>
        </w:tc>
      </w:tr>
      <w:tr w:rsidR="00E524AE" w:rsidRPr="00E73D2F" w:rsidTr="002B3516">
        <w:trPr>
          <w:trHeight w:val="27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E73D2F" w:rsidRDefault="00E524AE" w:rsidP="00C260C8">
            <w:pPr>
              <w:ind w:left="720" w:hanging="720"/>
              <w:rPr>
                <w:rFonts w:ascii="Arial" w:hAnsi="Arial"/>
                <w:b/>
              </w:rPr>
            </w:pPr>
            <w:r w:rsidRPr="00E73D2F">
              <w:rPr>
                <w:rFonts w:ascii="Arial" w:hAnsi="Arial"/>
                <w:b/>
              </w:rPr>
              <w:t xml:space="preserve">Finance: </w:t>
            </w:r>
            <w:r w:rsidR="00C57FBF" w:rsidRPr="002B3516">
              <w:rPr>
                <w:rFonts w:ascii="Arial" w:hAnsi="Arial"/>
              </w:rPr>
              <w:t>Capital Purchase 8028002261</w:t>
            </w:r>
          </w:p>
        </w:tc>
      </w:tr>
      <w:tr w:rsidR="00E524AE" w:rsidRPr="00E73D2F" w:rsidTr="002B3516">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E73D2F" w:rsidRDefault="00E524AE" w:rsidP="00C260C8">
            <w:pPr>
              <w:rPr>
                <w:rFonts w:ascii="Arial" w:hAnsi="Arial"/>
                <w:b/>
              </w:rPr>
            </w:pPr>
            <w:r w:rsidRPr="00E73D2F">
              <w:rPr>
                <w:rFonts w:ascii="Arial" w:hAnsi="Arial"/>
                <w:b/>
              </w:rPr>
              <w:t xml:space="preserve">HR: </w:t>
            </w:r>
            <w:r w:rsidR="00CE022F" w:rsidRPr="00CE022F">
              <w:rPr>
                <w:rFonts w:ascii="Arial" w:hAnsi="Arial"/>
              </w:rPr>
              <w:t>Not applicable</w:t>
            </w:r>
          </w:p>
        </w:tc>
      </w:tr>
      <w:tr w:rsidR="00E524AE" w:rsidRPr="00E73D2F" w:rsidTr="002B3516">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C260C8" w:rsidRPr="00E73D2F" w:rsidRDefault="00E524AE" w:rsidP="00844AF0">
            <w:pPr>
              <w:ind w:left="33" w:hanging="33"/>
              <w:rPr>
                <w:rFonts w:ascii="Arial" w:hAnsi="Arial"/>
                <w:b/>
              </w:rPr>
            </w:pPr>
            <w:r>
              <w:rPr>
                <w:rFonts w:ascii="Arial" w:hAnsi="Arial"/>
                <w:b/>
              </w:rPr>
              <w:t>Climate Change:</w:t>
            </w:r>
            <w:r w:rsidR="006241EB">
              <w:rPr>
                <w:rFonts w:ascii="Arial" w:hAnsi="Arial"/>
                <w:b/>
              </w:rPr>
              <w:t xml:space="preserve"> </w:t>
            </w:r>
            <w:r w:rsidR="008E48B3">
              <w:rPr>
                <w:rFonts w:ascii="Arial" w:hAnsi="Arial"/>
              </w:rPr>
              <w:t>This vehicle be a Euro 6 engine produces drastically less carbon than the Euro 5 variant it is replacing.</w:t>
            </w:r>
          </w:p>
        </w:tc>
      </w:tr>
      <w:tr w:rsidR="00E524AE" w:rsidRPr="00E73D2F" w:rsidTr="002B3516">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C260C8" w:rsidRDefault="00E524AE" w:rsidP="00A569DC">
            <w:pPr>
              <w:rPr>
                <w:rFonts w:ascii="Arial" w:hAnsi="Arial"/>
              </w:rPr>
            </w:pPr>
            <w:r>
              <w:rPr>
                <w:rFonts w:ascii="Arial" w:hAnsi="Arial"/>
                <w:b/>
              </w:rPr>
              <w:t>Data Protection:</w:t>
            </w:r>
            <w:r w:rsidR="00E74CDA">
              <w:rPr>
                <w:rFonts w:ascii="Arial" w:hAnsi="Arial"/>
                <w:b/>
              </w:rPr>
              <w:t xml:space="preserve"> </w:t>
            </w:r>
            <w:r w:rsidR="00C260C8" w:rsidRPr="00CE022F">
              <w:rPr>
                <w:rFonts w:ascii="Arial" w:hAnsi="Arial"/>
              </w:rPr>
              <w:t>Not applicable</w:t>
            </w:r>
          </w:p>
        </w:tc>
      </w:tr>
      <w:tr w:rsidR="00E524AE" w:rsidRPr="00E73D2F" w:rsidTr="002B3516">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E524AE" w:rsidRPr="00C260C8" w:rsidRDefault="00E524AE" w:rsidP="003D5331">
            <w:pPr>
              <w:rPr>
                <w:rFonts w:ascii="Arial" w:hAnsi="Arial"/>
              </w:rPr>
            </w:pPr>
            <w:r w:rsidRPr="00E524AE">
              <w:rPr>
                <w:rFonts w:ascii="Arial" w:hAnsi="Arial"/>
                <w:b/>
              </w:rPr>
              <w:t>Human Rights:</w:t>
            </w:r>
            <w:r w:rsidR="00E74CDA">
              <w:rPr>
                <w:rFonts w:ascii="Arial" w:hAnsi="Arial"/>
                <w:b/>
              </w:rPr>
              <w:t xml:space="preserve"> </w:t>
            </w:r>
            <w:r w:rsidR="00C260C8" w:rsidRPr="00CE022F">
              <w:rPr>
                <w:rFonts w:ascii="Arial" w:hAnsi="Arial"/>
              </w:rPr>
              <w:t>Not applicable</w:t>
            </w:r>
          </w:p>
        </w:tc>
      </w:tr>
      <w:tr w:rsidR="00E524AE" w:rsidRPr="00E73D2F" w:rsidTr="002B3516">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E524AE" w:rsidRPr="00E524AE" w:rsidRDefault="00E524AE" w:rsidP="00C260C8">
            <w:pPr>
              <w:rPr>
                <w:rFonts w:ascii="Arial" w:hAnsi="Arial"/>
                <w:b/>
              </w:rPr>
            </w:pPr>
            <w:r w:rsidRPr="00E524AE">
              <w:rPr>
                <w:rFonts w:ascii="Arial" w:hAnsi="Arial"/>
                <w:b/>
              </w:rPr>
              <w:t>Equality and Diversity:</w:t>
            </w:r>
            <w:r w:rsidR="00E74CDA">
              <w:rPr>
                <w:rFonts w:ascii="Arial" w:hAnsi="Arial"/>
                <w:b/>
              </w:rPr>
              <w:t xml:space="preserve"> </w:t>
            </w:r>
            <w:r w:rsidR="00C260C8" w:rsidRPr="00CE022F">
              <w:rPr>
                <w:rFonts w:ascii="Arial" w:hAnsi="Arial"/>
              </w:rPr>
              <w:t>Not applicabl</w:t>
            </w:r>
            <w:r w:rsidR="00844AF0">
              <w:rPr>
                <w:rFonts w:ascii="Arial" w:hAnsi="Arial"/>
              </w:rPr>
              <w:t>e</w:t>
            </w:r>
          </w:p>
        </w:tc>
      </w:tr>
      <w:tr w:rsidR="003D5331" w:rsidRPr="00E73D2F" w:rsidTr="002B3516">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319" w:type="dxa"/>
            <w:gridSpan w:val="2"/>
            <w:shd w:val="clear" w:color="auto" w:fill="auto"/>
          </w:tcPr>
          <w:p w:rsidR="00E74CDA" w:rsidRPr="00E73D2F" w:rsidRDefault="003D5331" w:rsidP="00C260C8">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C260C8">
              <w:rPr>
                <w:rFonts w:ascii="Arial" w:hAnsi="Arial"/>
              </w:rPr>
              <w:t>.</w:t>
            </w:r>
          </w:p>
        </w:tc>
      </w:tr>
      <w:tr w:rsidR="003D5331" w:rsidRPr="00E73D2F" w:rsidTr="002B3516">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E74CDA" w:rsidRDefault="00844AF0" w:rsidP="00C260C8">
            <w:pPr>
              <w:rPr>
                <w:rFonts w:ascii="Arial" w:hAnsi="Arial"/>
                <w:b/>
              </w:rPr>
            </w:pPr>
            <w:r>
              <w:rPr>
                <w:rFonts w:ascii="Arial" w:hAnsi="Arial"/>
                <w:b/>
              </w:rPr>
              <w:t xml:space="preserve">Deputy </w:t>
            </w:r>
            <w:r w:rsidR="003D5331" w:rsidRPr="00E73D2F">
              <w:rPr>
                <w:rFonts w:ascii="Arial" w:hAnsi="Arial"/>
                <w:b/>
              </w:rPr>
              <w:t>Monitoring Officer:</w:t>
            </w:r>
            <w:r w:rsidR="00A64365">
              <w:rPr>
                <w:rFonts w:ascii="Arial" w:hAnsi="Arial"/>
                <w:b/>
              </w:rPr>
              <w:t xml:space="preserve"> </w:t>
            </w:r>
            <w:r w:rsidRPr="00844AF0">
              <w:rPr>
                <w:rFonts w:ascii="Arial" w:hAnsi="Arial"/>
              </w:rPr>
              <w:t>No specific comments</w:t>
            </w:r>
          </w:p>
          <w:p w:rsidR="00C260C8" w:rsidRDefault="00C260C8" w:rsidP="00C260C8">
            <w:pPr>
              <w:rPr>
                <w:rFonts w:ascii="Arial" w:hAnsi="Arial"/>
                <w:b/>
              </w:rPr>
            </w:pPr>
          </w:p>
          <w:p w:rsidR="00C260C8" w:rsidRPr="00E73D2F" w:rsidRDefault="00C260C8" w:rsidP="00C260C8">
            <w:pPr>
              <w:rPr>
                <w:rFonts w:ascii="Arial" w:hAnsi="Arial"/>
                <w:b/>
              </w:rPr>
            </w:pPr>
          </w:p>
        </w:tc>
      </w:tr>
      <w:tr w:rsidR="003D5331" w:rsidRPr="00E73D2F" w:rsidTr="002B3516">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3D5331" w:rsidRPr="00844AF0" w:rsidRDefault="003D5331" w:rsidP="00C260C8">
            <w:pPr>
              <w:rPr>
                <w:rFonts w:ascii="Arial" w:hAnsi="Arial"/>
              </w:rPr>
            </w:pPr>
            <w:r w:rsidRPr="00E73D2F">
              <w:rPr>
                <w:rFonts w:ascii="Arial" w:hAnsi="Arial"/>
                <w:b/>
              </w:rPr>
              <w:t>Section 151 Officer:</w:t>
            </w:r>
            <w:r w:rsidR="00A64365">
              <w:rPr>
                <w:rFonts w:ascii="Arial" w:hAnsi="Arial"/>
                <w:b/>
              </w:rPr>
              <w:t xml:space="preserve"> </w:t>
            </w:r>
            <w:r w:rsidR="00975455">
              <w:rPr>
                <w:rFonts w:ascii="Arial" w:hAnsi="Arial"/>
                <w:b/>
              </w:rPr>
              <w:t xml:space="preserve"> </w:t>
            </w:r>
            <w:r w:rsidR="00844AF0" w:rsidRPr="00844AF0">
              <w:rPr>
                <w:rFonts w:ascii="Arial" w:hAnsi="Arial"/>
              </w:rPr>
              <w:t>No specific comments</w:t>
            </w:r>
          </w:p>
          <w:p w:rsidR="00C260C8" w:rsidRPr="00844AF0" w:rsidRDefault="00C260C8" w:rsidP="00C260C8">
            <w:pPr>
              <w:rPr>
                <w:rFonts w:ascii="Arial" w:hAnsi="Arial"/>
              </w:rPr>
            </w:pPr>
          </w:p>
          <w:p w:rsidR="00C260C8" w:rsidRPr="00E73D2F" w:rsidRDefault="00C260C8" w:rsidP="00C260C8">
            <w:pPr>
              <w:rPr>
                <w:rFonts w:ascii="Arial" w:hAnsi="Arial"/>
                <w:b/>
              </w:rPr>
            </w:pPr>
          </w:p>
        </w:tc>
      </w:tr>
      <w:tr w:rsidR="00046933" w:rsidRPr="00E73D2F" w:rsidTr="002B3516">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319" w:type="dxa"/>
            <w:gridSpan w:val="2"/>
            <w:shd w:val="clear" w:color="auto" w:fill="auto"/>
          </w:tcPr>
          <w:p w:rsidR="008D4EBC" w:rsidRDefault="008D4EBC" w:rsidP="003D5331">
            <w:pPr>
              <w:rPr>
                <w:rFonts w:ascii="Arial" w:hAnsi="Arial"/>
                <w:b/>
              </w:rPr>
            </w:pPr>
          </w:p>
          <w:p w:rsidR="0026759A" w:rsidRPr="00E73D2F" w:rsidRDefault="00530E7D"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lastRenderedPageBreak/>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E2" w:rsidRDefault="000621E2">
      <w:r>
        <w:separator/>
      </w:r>
    </w:p>
  </w:endnote>
  <w:endnote w:type="continuationSeparator" w:id="0">
    <w:p w:rsidR="000621E2" w:rsidRDefault="0006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E2" w:rsidRDefault="000621E2">
      <w:r>
        <w:separator/>
      </w:r>
    </w:p>
  </w:footnote>
  <w:footnote w:type="continuationSeparator" w:id="0">
    <w:p w:rsidR="000621E2" w:rsidRDefault="0006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621E2"/>
    <w:rsid w:val="000B057C"/>
    <w:rsid w:val="000C2E4B"/>
    <w:rsid w:val="000C7A93"/>
    <w:rsid w:val="000D3977"/>
    <w:rsid w:val="00136429"/>
    <w:rsid w:val="00154649"/>
    <w:rsid w:val="00165587"/>
    <w:rsid w:val="001A3A1B"/>
    <w:rsid w:val="001E175B"/>
    <w:rsid w:val="001E73CC"/>
    <w:rsid w:val="00205C88"/>
    <w:rsid w:val="0026759A"/>
    <w:rsid w:val="00284ECD"/>
    <w:rsid w:val="00287242"/>
    <w:rsid w:val="0029387F"/>
    <w:rsid w:val="002B3516"/>
    <w:rsid w:val="002D4E3E"/>
    <w:rsid w:val="002D6E1E"/>
    <w:rsid w:val="002E4C1F"/>
    <w:rsid w:val="002E566A"/>
    <w:rsid w:val="002F21EB"/>
    <w:rsid w:val="003439A0"/>
    <w:rsid w:val="00362485"/>
    <w:rsid w:val="00362D1E"/>
    <w:rsid w:val="00373837"/>
    <w:rsid w:val="00386871"/>
    <w:rsid w:val="003A04B0"/>
    <w:rsid w:val="003A47BA"/>
    <w:rsid w:val="003D1EFF"/>
    <w:rsid w:val="003D5331"/>
    <w:rsid w:val="003F2897"/>
    <w:rsid w:val="004173F4"/>
    <w:rsid w:val="004251A2"/>
    <w:rsid w:val="004437AD"/>
    <w:rsid w:val="00455C6C"/>
    <w:rsid w:val="004A4D03"/>
    <w:rsid w:val="004E3DEE"/>
    <w:rsid w:val="00530E7D"/>
    <w:rsid w:val="00533063"/>
    <w:rsid w:val="00557B22"/>
    <w:rsid w:val="00582463"/>
    <w:rsid w:val="00586F20"/>
    <w:rsid w:val="00591CA6"/>
    <w:rsid w:val="005A410A"/>
    <w:rsid w:val="005F66FF"/>
    <w:rsid w:val="006241EB"/>
    <w:rsid w:val="00640F4F"/>
    <w:rsid w:val="006503F4"/>
    <w:rsid w:val="00691751"/>
    <w:rsid w:val="00693778"/>
    <w:rsid w:val="00697089"/>
    <w:rsid w:val="006C36F8"/>
    <w:rsid w:val="00721168"/>
    <w:rsid w:val="00743848"/>
    <w:rsid w:val="00762D5A"/>
    <w:rsid w:val="00771E5A"/>
    <w:rsid w:val="00793D98"/>
    <w:rsid w:val="007B7BFB"/>
    <w:rsid w:val="007C6626"/>
    <w:rsid w:val="007F21BA"/>
    <w:rsid w:val="00844AF0"/>
    <w:rsid w:val="00846FB8"/>
    <w:rsid w:val="008B27FF"/>
    <w:rsid w:val="008D4EBC"/>
    <w:rsid w:val="008E48B3"/>
    <w:rsid w:val="008F26A7"/>
    <w:rsid w:val="008F469B"/>
    <w:rsid w:val="0092605C"/>
    <w:rsid w:val="00963729"/>
    <w:rsid w:val="00975455"/>
    <w:rsid w:val="00993D2B"/>
    <w:rsid w:val="009B6FB1"/>
    <w:rsid w:val="009C3E0D"/>
    <w:rsid w:val="009D72AA"/>
    <w:rsid w:val="00A569DC"/>
    <w:rsid w:val="00A64365"/>
    <w:rsid w:val="00AE301A"/>
    <w:rsid w:val="00AE68C9"/>
    <w:rsid w:val="00B01B98"/>
    <w:rsid w:val="00B574C6"/>
    <w:rsid w:val="00B7486C"/>
    <w:rsid w:val="00B7763B"/>
    <w:rsid w:val="00BB1318"/>
    <w:rsid w:val="00BB48D6"/>
    <w:rsid w:val="00C0076A"/>
    <w:rsid w:val="00C260C8"/>
    <w:rsid w:val="00C34AD3"/>
    <w:rsid w:val="00C57FBF"/>
    <w:rsid w:val="00C61517"/>
    <w:rsid w:val="00C643BD"/>
    <w:rsid w:val="00CE022F"/>
    <w:rsid w:val="00D70FF0"/>
    <w:rsid w:val="00DF795C"/>
    <w:rsid w:val="00E00456"/>
    <w:rsid w:val="00E4397C"/>
    <w:rsid w:val="00E524AE"/>
    <w:rsid w:val="00E73048"/>
    <w:rsid w:val="00E73D2F"/>
    <w:rsid w:val="00E74CDA"/>
    <w:rsid w:val="00EA48C6"/>
    <w:rsid w:val="00EA57CD"/>
    <w:rsid w:val="00F66A1F"/>
    <w:rsid w:val="00F6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AF6EF"/>
  <w15:chartTrackingRefBased/>
  <w15:docId w15:val="{1F05A162-F454-40B7-8EF1-86C4A2AE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19413">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 w:id="1832211267">
      <w:bodyDiv w:val="1"/>
      <w:marLeft w:val="0"/>
      <w:marRight w:val="0"/>
      <w:marTop w:val="0"/>
      <w:marBottom w:val="0"/>
      <w:divBdr>
        <w:top w:val="none" w:sz="0" w:space="0" w:color="auto"/>
        <w:left w:val="none" w:sz="0" w:space="0" w:color="auto"/>
        <w:bottom w:val="none" w:sz="0" w:space="0" w:color="auto"/>
        <w:right w:val="none" w:sz="0" w:space="0" w:color="auto"/>
      </w:divBdr>
    </w:div>
    <w:div w:id="20893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1928</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cp:lastPrinted>2021-10-11T05:54:00Z</cp:lastPrinted>
  <dcterms:created xsi:type="dcterms:W3CDTF">2022-07-06T10:12:00Z</dcterms:created>
  <dcterms:modified xsi:type="dcterms:W3CDTF">2022-07-06T10:13:00Z</dcterms:modified>
</cp:coreProperties>
</file>